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44169" w14:textId="77777777" w:rsidR="003440BE" w:rsidRDefault="003440BE" w:rsidP="003440BE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445"/>
      </w:tblGrid>
      <w:tr w:rsidR="003440BE" w:rsidRPr="00260F7D" w14:paraId="30D63D6F" w14:textId="77777777" w:rsidTr="00961DD3">
        <w:trPr>
          <w:trHeight w:val="1001"/>
        </w:trPr>
        <w:tc>
          <w:tcPr>
            <w:tcW w:w="5508" w:type="dxa"/>
            <w:tcBorders>
              <w:top w:val="nil"/>
              <w:left w:val="nil"/>
              <w:bottom w:val="single" w:sz="18" w:space="0" w:color="0080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E42CB" w14:textId="77777777" w:rsidR="003440BE" w:rsidRPr="00410D8D" w:rsidRDefault="003440BE" w:rsidP="00961DD3">
            <w:pPr>
              <w:rPr>
                <w:rFonts w:ascii="Verdana" w:hAnsi="Verdana"/>
                <w:b/>
                <w:bCs/>
                <w:color w:val="008080"/>
                <w:sz w:val="28"/>
                <w:szCs w:val="22"/>
                <w:lang w:val="es-CO"/>
              </w:rPr>
            </w:pPr>
            <w:r w:rsidRPr="00410D8D">
              <w:rPr>
                <w:rFonts w:ascii="Verdana" w:hAnsi="Verdana"/>
                <w:b/>
                <w:bCs/>
                <w:color w:val="008080"/>
                <w:sz w:val="28"/>
                <w:szCs w:val="22"/>
                <w:lang w:val="es-CO"/>
              </w:rPr>
              <w:t>BOLETIN INFORMATIVO</w:t>
            </w:r>
          </w:p>
          <w:p w14:paraId="567543EE" w14:textId="77777777" w:rsidR="003440BE" w:rsidRPr="00410D8D" w:rsidRDefault="003440BE" w:rsidP="00961DD3">
            <w:pPr>
              <w:rPr>
                <w:rFonts w:ascii="Verdana" w:hAnsi="Verdana"/>
                <w:b/>
                <w:bCs/>
                <w:color w:val="008080"/>
                <w:sz w:val="28"/>
                <w:szCs w:val="22"/>
                <w:lang w:val="es-CO"/>
              </w:rPr>
            </w:pPr>
            <w:r w:rsidRPr="00410D8D">
              <w:rPr>
                <w:rFonts w:ascii="Verdana" w:hAnsi="Verdana"/>
                <w:b/>
                <w:bCs/>
                <w:color w:val="008080"/>
                <w:sz w:val="28"/>
                <w:szCs w:val="22"/>
                <w:lang w:val="es-CO"/>
              </w:rPr>
              <w:t>SET-FX</w:t>
            </w:r>
          </w:p>
          <w:p w14:paraId="6BBBE7A9" w14:textId="77777777" w:rsidR="003440BE" w:rsidRPr="00260F7D" w:rsidRDefault="003440BE" w:rsidP="00961DD3">
            <w:pPr>
              <w:rPr>
                <w:rFonts w:ascii="Verdana" w:hAnsi="Verdana"/>
                <w:sz w:val="22"/>
                <w:szCs w:val="22"/>
                <w:lang w:val="es-CO"/>
              </w:rPr>
            </w:pPr>
          </w:p>
          <w:p w14:paraId="22B3354F" w14:textId="77777777" w:rsidR="003440BE" w:rsidRPr="00260F7D" w:rsidRDefault="003440BE" w:rsidP="00961DD3">
            <w:pPr>
              <w:rPr>
                <w:rFonts w:ascii="Verdana" w:hAnsi="Verdana"/>
                <w:sz w:val="22"/>
                <w:szCs w:val="22"/>
                <w:lang w:val="es-CO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single" w:sz="18" w:space="0" w:color="0080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0D55D" w14:textId="77777777" w:rsidR="003440BE" w:rsidRPr="00260F7D" w:rsidRDefault="003440BE" w:rsidP="00961DD3">
            <w:pPr>
              <w:jc w:val="right"/>
              <w:rPr>
                <w:rFonts w:ascii="Verdana" w:hAnsi="Verdana"/>
                <w:sz w:val="22"/>
                <w:szCs w:val="22"/>
              </w:rPr>
            </w:pPr>
            <w:r w:rsidRPr="00260F7D">
              <w:rPr>
                <w:rFonts w:ascii="Verdana" w:hAnsi="Verdana"/>
                <w:noProof/>
                <w:sz w:val="22"/>
                <w:szCs w:val="22"/>
                <w:lang w:val="es-CO" w:eastAsia="es-CO"/>
              </w:rPr>
              <w:drawing>
                <wp:inline distT="0" distB="0" distL="0" distR="0" wp14:anchorId="7A23D0F2" wp14:editId="4B13DE3B">
                  <wp:extent cx="1657350" cy="485078"/>
                  <wp:effectExtent l="0" t="0" r="0" b="0"/>
                  <wp:docPr id="1" name="Imagen 1" descr="logoseti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eti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485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40BE" w:rsidRPr="00260F7D" w14:paraId="795BB39E" w14:textId="77777777" w:rsidTr="00961DD3">
        <w:trPr>
          <w:trHeight w:val="405"/>
        </w:trPr>
        <w:tc>
          <w:tcPr>
            <w:tcW w:w="5508" w:type="dxa"/>
            <w:tcBorders>
              <w:top w:val="nil"/>
              <w:left w:val="nil"/>
              <w:bottom w:val="single" w:sz="18" w:space="0" w:color="0080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F8D57" w14:textId="77777777" w:rsidR="003440BE" w:rsidRPr="00260F7D" w:rsidRDefault="003440BE" w:rsidP="00E04EDA">
            <w:pPr>
              <w:jc w:val="center"/>
              <w:rPr>
                <w:rFonts w:ascii="Verdana" w:hAnsi="Verdana" w:cs="Arial"/>
                <w:szCs w:val="22"/>
                <w:lang w:val="es-CO"/>
              </w:rPr>
            </w:pPr>
            <w:r w:rsidRPr="00260F7D">
              <w:rPr>
                <w:rFonts w:ascii="Verdana" w:hAnsi="Verdana" w:cs="Arial"/>
                <w:szCs w:val="22"/>
                <w:lang w:val="es-CO"/>
              </w:rPr>
              <w:t xml:space="preserve">Bogotá D.C. </w:t>
            </w:r>
            <w:r w:rsidR="00112E32">
              <w:rPr>
                <w:rFonts w:ascii="Verdana" w:hAnsi="Verdana" w:cs="Arial"/>
                <w:szCs w:val="22"/>
                <w:lang w:val="es-CO"/>
              </w:rPr>
              <w:t>Septiembre</w:t>
            </w:r>
            <w:r w:rsidRPr="00260F7D">
              <w:rPr>
                <w:rFonts w:ascii="Verdana" w:hAnsi="Verdana" w:cs="Arial"/>
                <w:szCs w:val="22"/>
                <w:lang w:val="es-CO"/>
              </w:rPr>
              <w:t xml:space="preserve"> </w:t>
            </w:r>
            <w:r w:rsidR="00E04EDA">
              <w:rPr>
                <w:rFonts w:ascii="Verdana" w:hAnsi="Verdana" w:cs="Arial"/>
                <w:szCs w:val="22"/>
                <w:lang w:val="es-CO"/>
              </w:rPr>
              <w:t>22</w:t>
            </w:r>
            <w:r w:rsidRPr="00260F7D">
              <w:rPr>
                <w:rFonts w:ascii="Verdana" w:hAnsi="Verdana" w:cs="Arial"/>
                <w:szCs w:val="22"/>
                <w:lang w:val="es-CO"/>
              </w:rPr>
              <w:t xml:space="preserve"> de 20</w:t>
            </w:r>
            <w:r w:rsidR="00E92940">
              <w:rPr>
                <w:rFonts w:ascii="Verdana" w:hAnsi="Verdana" w:cs="Arial"/>
                <w:szCs w:val="22"/>
                <w:lang w:val="es-CO"/>
              </w:rPr>
              <w:t>20</w:t>
            </w:r>
            <w:r w:rsidRPr="00260F7D">
              <w:rPr>
                <w:rFonts w:ascii="Verdana" w:hAnsi="Verdana" w:cs="Arial"/>
                <w:szCs w:val="22"/>
                <w:lang w:val="es-CO"/>
              </w:rPr>
              <w:t xml:space="preserve">   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18" w:space="0" w:color="00808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F70E" w14:textId="77777777" w:rsidR="003440BE" w:rsidRPr="00260F7D" w:rsidRDefault="009C36AD" w:rsidP="00F112DB">
            <w:pPr>
              <w:jc w:val="center"/>
              <w:rPr>
                <w:rFonts w:ascii="Verdana" w:hAnsi="Verdana" w:cs="Arial"/>
                <w:b/>
                <w:bCs/>
                <w:szCs w:val="22"/>
                <w:lang w:val="es-CO"/>
              </w:rPr>
            </w:pPr>
            <w:r>
              <w:rPr>
                <w:rFonts w:ascii="Verdana" w:hAnsi="Verdana" w:cs="Arial"/>
                <w:b/>
                <w:bCs/>
                <w:szCs w:val="22"/>
                <w:lang w:val="es-CO"/>
              </w:rPr>
              <w:t xml:space="preserve">No. </w:t>
            </w:r>
            <w:r w:rsidR="00634061">
              <w:rPr>
                <w:rFonts w:ascii="Verdana" w:hAnsi="Verdana" w:cs="Arial"/>
                <w:b/>
                <w:bCs/>
                <w:szCs w:val="22"/>
                <w:lang w:val="es-CO"/>
              </w:rPr>
              <w:t>3</w:t>
            </w:r>
            <w:r w:rsidR="00E04EDA">
              <w:rPr>
                <w:rFonts w:ascii="Verdana" w:hAnsi="Verdana" w:cs="Arial"/>
                <w:b/>
                <w:bCs/>
                <w:szCs w:val="22"/>
                <w:lang w:val="es-CO"/>
              </w:rPr>
              <w:t>36</w:t>
            </w:r>
          </w:p>
        </w:tc>
      </w:tr>
    </w:tbl>
    <w:p w14:paraId="4E06A4F1" w14:textId="77777777" w:rsidR="003440BE" w:rsidRDefault="003440BE" w:rsidP="003440BE">
      <w:pPr>
        <w:jc w:val="both"/>
        <w:rPr>
          <w:rFonts w:ascii="Verdana" w:hAnsi="Verdana"/>
          <w:b/>
          <w:bCs/>
          <w:sz w:val="20"/>
          <w:szCs w:val="20"/>
          <w:lang w:val="es-CO"/>
        </w:rPr>
      </w:pPr>
    </w:p>
    <w:p w14:paraId="6FF284CB" w14:textId="77777777" w:rsidR="003440BE" w:rsidRDefault="003440BE" w:rsidP="003440BE">
      <w:pPr>
        <w:jc w:val="both"/>
        <w:rPr>
          <w:rFonts w:ascii="Verdana" w:hAnsi="Verdana"/>
          <w:b/>
          <w:bCs/>
          <w:sz w:val="20"/>
          <w:szCs w:val="20"/>
          <w:lang w:val="es-CO"/>
        </w:rPr>
      </w:pPr>
    </w:p>
    <w:p w14:paraId="45DD5861" w14:textId="77777777" w:rsidR="005A14BA" w:rsidRPr="00260F7D" w:rsidRDefault="005A14BA" w:rsidP="003440BE">
      <w:pPr>
        <w:jc w:val="both"/>
        <w:rPr>
          <w:rFonts w:ascii="Verdana" w:hAnsi="Verdana"/>
          <w:b/>
          <w:bCs/>
          <w:sz w:val="20"/>
          <w:szCs w:val="20"/>
          <w:lang w:val="es-CO"/>
        </w:rPr>
      </w:pPr>
    </w:p>
    <w:p w14:paraId="57946C29" w14:textId="77777777" w:rsidR="00505A6D" w:rsidRDefault="003440BE" w:rsidP="00505A6D">
      <w:pPr>
        <w:autoSpaceDE w:val="0"/>
        <w:autoSpaceDN w:val="0"/>
        <w:adjustRightInd w:val="0"/>
        <w:jc w:val="center"/>
        <w:rPr>
          <w:rFonts w:ascii="Verdana" w:hAnsi="Verdana" w:cs="Arial"/>
          <w:color w:val="000000"/>
          <w:sz w:val="22"/>
          <w:szCs w:val="22"/>
          <w:lang w:val="es-CO" w:eastAsia="es-CO"/>
        </w:rPr>
      </w:pPr>
      <w:r w:rsidRPr="00260F7D">
        <w:rPr>
          <w:rFonts w:ascii="Verdana" w:hAnsi="Verdana" w:cs="Arial"/>
          <w:b/>
          <w:bCs/>
          <w:color w:val="000000"/>
          <w:sz w:val="22"/>
          <w:szCs w:val="22"/>
          <w:lang w:val="es-CO"/>
        </w:rPr>
        <w:t>ASUNTO:</w:t>
      </w:r>
    </w:p>
    <w:p w14:paraId="74064273" w14:textId="77777777" w:rsidR="00505A6D" w:rsidRDefault="00505A6D" w:rsidP="00505A6D">
      <w:pPr>
        <w:autoSpaceDE w:val="0"/>
        <w:autoSpaceDN w:val="0"/>
        <w:adjustRightInd w:val="0"/>
        <w:jc w:val="center"/>
        <w:rPr>
          <w:rFonts w:ascii="Verdana" w:hAnsi="Verdana" w:cs="Arial"/>
          <w:color w:val="000000"/>
          <w:sz w:val="22"/>
          <w:szCs w:val="22"/>
          <w:lang w:val="es-CO" w:eastAsia="es-CO"/>
        </w:rPr>
      </w:pPr>
    </w:p>
    <w:p w14:paraId="2F3022A6" w14:textId="77777777" w:rsidR="00C5105C" w:rsidRDefault="00C5105C" w:rsidP="00505A6D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  <w:sz w:val="22"/>
          <w:szCs w:val="22"/>
          <w:lang w:val="es-CO" w:eastAsia="es-CO"/>
        </w:rPr>
      </w:pPr>
      <w:r>
        <w:rPr>
          <w:rFonts w:ascii="Verdana" w:hAnsi="Verdana" w:cs="Arial"/>
          <w:b/>
          <w:bCs/>
          <w:color w:val="000000"/>
          <w:sz w:val="22"/>
          <w:szCs w:val="22"/>
          <w:lang w:val="es-CO" w:eastAsia="es-CO"/>
        </w:rPr>
        <w:t xml:space="preserve">CAPACITACIONES ÁREAS </w:t>
      </w:r>
      <w:r w:rsidR="00E04EDA">
        <w:rPr>
          <w:rFonts w:ascii="Verdana" w:hAnsi="Verdana" w:cs="Arial"/>
          <w:b/>
          <w:bCs/>
          <w:color w:val="000000"/>
          <w:sz w:val="22"/>
          <w:szCs w:val="22"/>
          <w:lang w:val="es-CO" w:eastAsia="es-CO"/>
        </w:rPr>
        <w:t>DE RIESGO</w:t>
      </w:r>
    </w:p>
    <w:p w14:paraId="64AE114B" w14:textId="77777777" w:rsidR="007E0A9C" w:rsidRDefault="007E0A9C" w:rsidP="00505A6D">
      <w:pPr>
        <w:autoSpaceDE w:val="0"/>
        <w:autoSpaceDN w:val="0"/>
        <w:adjustRightInd w:val="0"/>
        <w:jc w:val="center"/>
        <w:rPr>
          <w:rFonts w:ascii="Verdana" w:hAnsi="Verdana" w:cs="Arial"/>
          <w:b/>
          <w:bCs/>
          <w:color w:val="000000"/>
          <w:sz w:val="22"/>
          <w:szCs w:val="22"/>
          <w:lang w:val="es-CO" w:eastAsia="es-CO"/>
        </w:rPr>
      </w:pPr>
    </w:p>
    <w:p w14:paraId="04DA6608" w14:textId="77777777" w:rsidR="003440BE" w:rsidRPr="00505A6D" w:rsidRDefault="00E04EDA" w:rsidP="00505A6D">
      <w:pPr>
        <w:autoSpaceDE w:val="0"/>
        <w:autoSpaceDN w:val="0"/>
        <w:adjustRightInd w:val="0"/>
        <w:jc w:val="center"/>
        <w:rPr>
          <w:rFonts w:ascii="Verdana" w:hAnsi="Verdana" w:cs="Arial"/>
          <w:color w:val="000000"/>
          <w:sz w:val="22"/>
          <w:szCs w:val="22"/>
          <w:lang w:val="es-CO" w:eastAsia="es-CO"/>
        </w:rPr>
      </w:pPr>
      <w:r>
        <w:rPr>
          <w:rFonts w:ascii="Verdana" w:hAnsi="Verdana" w:cs="Arial"/>
          <w:b/>
          <w:bCs/>
          <w:color w:val="000000"/>
          <w:sz w:val="22"/>
          <w:szCs w:val="22"/>
          <w:lang w:val="es-CO" w:eastAsia="es-CO"/>
        </w:rPr>
        <w:t>CAMBIOS EN FUNCIONAMIENTO DE CUPOS Y MERCADO CIEGO EN EL SISTEMA SET-FX – FUSIÓN DE CÁMARAS</w:t>
      </w:r>
    </w:p>
    <w:p w14:paraId="4988F714" w14:textId="77777777" w:rsidR="003440BE" w:rsidRDefault="003440BE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  <w:lang w:val="es-CO" w:eastAsia="es-CO"/>
        </w:rPr>
      </w:pPr>
    </w:p>
    <w:p w14:paraId="267BA09F" w14:textId="77777777" w:rsidR="009C36AD" w:rsidRDefault="009C36AD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  <w:lang w:val="es-CO" w:eastAsia="es-CO"/>
        </w:rPr>
      </w:pPr>
    </w:p>
    <w:p w14:paraId="6FCDABE1" w14:textId="77777777" w:rsidR="007E0A9C" w:rsidRDefault="00E17210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  <w:lang w:val="es-CO" w:eastAsia="es-CO"/>
        </w:rPr>
      </w:pPr>
      <w:r w:rsidRPr="00E17210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SET-ICAP FX S.A, sociedad administradora del Sistema Electrónico de Negociación e Información del Mercado de Divisas SET-FX, informa a todos sus afiliados que </w:t>
      </w: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los días </w:t>
      </w:r>
      <w:r w:rsidR="00E04EDA">
        <w:rPr>
          <w:rFonts w:ascii="Verdana" w:hAnsi="Verdana" w:cs="Arial"/>
          <w:color w:val="000000"/>
          <w:sz w:val="22"/>
          <w:szCs w:val="22"/>
          <w:lang w:val="es-CO" w:eastAsia="es-CO"/>
        </w:rPr>
        <w:t>28</w:t>
      </w: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, </w:t>
      </w:r>
      <w:r w:rsidR="00E04EDA">
        <w:rPr>
          <w:rFonts w:ascii="Verdana" w:hAnsi="Verdana" w:cs="Arial"/>
          <w:color w:val="000000"/>
          <w:sz w:val="22"/>
          <w:szCs w:val="22"/>
          <w:lang w:val="es-CO" w:eastAsia="es-CO"/>
        </w:rPr>
        <w:t>29</w:t>
      </w: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y </w:t>
      </w:r>
      <w:r w:rsidR="00E04EDA">
        <w:rPr>
          <w:rFonts w:ascii="Verdana" w:hAnsi="Verdana" w:cs="Arial"/>
          <w:color w:val="000000"/>
          <w:sz w:val="22"/>
          <w:szCs w:val="22"/>
          <w:lang w:val="es-CO" w:eastAsia="es-CO"/>
        </w:rPr>
        <w:t>30</w:t>
      </w: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de </w:t>
      </w:r>
      <w:r w:rsidR="007B14DA">
        <w:rPr>
          <w:rFonts w:ascii="Verdana" w:hAnsi="Verdana" w:cs="Arial"/>
          <w:color w:val="000000"/>
          <w:sz w:val="22"/>
          <w:szCs w:val="22"/>
          <w:lang w:val="es-CO" w:eastAsia="es-CO"/>
        </w:rPr>
        <w:t>septiembre</w:t>
      </w: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de 2020</w:t>
      </w:r>
      <w:r w:rsidRPr="00E17210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, se realizarán </w:t>
      </w:r>
      <w:r w:rsidRPr="00E04EDA">
        <w:rPr>
          <w:rFonts w:ascii="Verdana" w:hAnsi="Verdana" w:cs="Arial"/>
          <w:color w:val="000000"/>
          <w:sz w:val="22"/>
          <w:szCs w:val="22"/>
          <w:lang w:val="es-CO" w:eastAsia="es-CO"/>
        </w:rPr>
        <w:t>sesiones virtuales de</w:t>
      </w:r>
      <w:r w:rsidRPr="00E17210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capacitación</w:t>
      </w:r>
      <w:r w:rsidR="00B26660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dirigidas a</w:t>
      </w:r>
      <w:r w:rsidR="00A90C4E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</w:t>
      </w:r>
      <w:r w:rsidR="00B26660">
        <w:rPr>
          <w:rFonts w:ascii="Verdana" w:hAnsi="Verdana" w:cs="Arial"/>
          <w:color w:val="000000"/>
          <w:sz w:val="22"/>
          <w:szCs w:val="22"/>
          <w:lang w:val="es-CO" w:eastAsia="es-CO"/>
        </w:rPr>
        <w:t>las</w:t>
      </w:r>
      <w:r w:rsidRPr="00E17210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áreas </w:t>
      </w:r>
      <w:r w:rsidR="00E04EDA">
        <w:rPr>
          <w:rFonts w:ascii="Verdana" w:hAnsi="Verdana" w:cs="Arial"/>
          <w:color w:val="000000"/>
          <w:sz w:val="22"/>
          <w:szCs w:val="22"/>
          <w:lang w:val="es-CO" w:eastAsia="es-CO"/>
        </w:rPr>
        <w:t>de riesgo</w:t>
      </w: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</w:t>
      </w:r>
      <w:r w:rsidRPr="00E17210">
        <w:rPr>
          <w:rFonts w:ascii="Verdana" w:hAnsi="Verdana" w:cs="Arial"/>
          <w:color w:val="000000"/>
          <w:sz w:val="22"/>
          <w:szCs w:val="22"/>
          <w:lang w:val="es-CO" w:eastAsia="es-CO"/>
        </w:rPr>
        <w:t>de las entidades afiliadas al Sistema</w:t>
      </w:r>
      <w:r w:rsidR="00A90C4E">
        <w:rPr>
          <w:rFonts w:ascii="Verdana" w:hAnsi="Verdana" w:cs="Arial"/>
          <w:color w:val="000000"/>
          <w:sz w:val="22"/>
          <w:szCs w:val="22"/>
          <w:lang w:val="es-CO" w:eastAsia="es-CO"/>
        </w:rPr>
        <w:t>.</w:t>
      </w:r>
    </w:p>
    <w:p w14:paraId="4047D8D0" w14:textId="77777777" w:rsidR="007E0A9C" w:rsidRDefault="007E0A9C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  <w:lang w:val="es-CO" w:eastAsia="es-CO"/>
        </w:rPr>
      </w:pPr>
    </w:p>
    <w:p w14:paraId="1F5589FE" w14:textId="504CFFFA" w:rsidR="00E17210" w:rsidRPr="00E17210" w:rsidRDefault="00A90C4E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  <w:lang w:val="es-CO" w:eastAsia="es-CO"/>
        </w:rPr>
      </w:pP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En dichas capacitaciones se presentarán los cambios que </w:t>
      </w:r>
      <w:r w:rsidR="00E04EDA">
        <w:rPr>
          <w:rFonts w:ascii="Verdana" w:hAnsi="Verdana" w:cs="Arial"/>
          <w:color w:val="000000"/>
          <w:sz w:val="22"/>
          <w:szCs w:val="22"/>
          <w:lang w:val="es-CO" w:eastAsia="es-CO"/>
        </w:rPr>
        <w:t>tendrá el Sistema SET-FX en el funcionamiento de cupos bilaterales y cupos cámara en los mercados de contado, así como las implicaciones de la implementación de la metodología de mercado ciego</w:t>
      </w:r>
      <w:r w:rsidR="00CB4A19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en el contexto de</w:t>
      </w:r>
      <w:r w:rsidR="00E04EDA">
        <w:rPr>
          <w:rFonts w:ascii="Verdana" w:hAnsi="Verdana" w:cs="Arial"/>
          <w:color w:val="000000"/>
          <w:sz w:val="22"/>
          <w:szCs w:val="22"/>
          <w:lang w:val="es-CO" w:eastAsia="es-CO"/>
        </w:rPr>
        <w:t xml:space="preserve"> la </w:t>
      </w:r>
      <w:r w:rsidR="00E04EDA" w:rsidRPr="00E04EDA">
        <w:rPr>
          <w:rFonts w:ascii="Verdana" w:hAnsi="Verdana" w:cs="Arial"/>
          <w:color w:val="000000"/>
          <w:sz w:val="22"/>
          <w:szCs w:val="22"/>
          <w:lang w:val="es-CO" w:eastAsia="es-CO"/>
        </w:rPr>
        <w:t>fusión de la Cámara de Compensación de Divisas y la Cámara de Riesgo Central de Contraparte.</w:t>
      </w:r>
    </w:p>
    <w:p w14:paraId="2F9B945D" w14:textId="52CF0477" w:rsidR="00E17210" w:rsidRDefault="00E17210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  <w:lang w:val="es-CO" w:eastAsia="es-CO"/>
        </w:rPr>
      </w:pPr>
    </w:p>
    <w:p w14:paraId="7E978B5F" w14:textId="36B76169" w:rsidR="00505A6D" w:rsidRPr="0001138F" w:rsidRDefault="00CB4A19" w:rsidP="00CB4A19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color w:val="000000"/>
          <w:sz w:val="20"/>
          <w:szCs w:val="20"/>
          <w:lang w:val="es-CO" w:eastAsia="es-CO"/>
        </w:rPr>
      </w:pPr>
      <w:r>
        <w:rPr>
          <w:rFonts w:ascii="Verdana" w:hAnsi="Verdana" w:cs="Arial"/>
          <w:color w:val="000000"/>
          <w:sz w:val="22"/>
          <w:szCs w:val="22"/>
          <w:lang w:val="es-CO" w:eastAsia="es-CO"/>
        </w:rPr>
        <w:t>A continuación se presenta la programación de entidades por cada sesión:</w:t>
      </w:r>
    </w:p>
    <w:p w14:paraId="16CAC8AE" w14:textId="77777777" w:rsidR="00E17210" w:rsidRDefault="00E17210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tbl>
      <w:tblPr>
        <w:tblStyle w:val="Tablaconcuadrcula"/>
        <w:tblW w:w="8892" w:type="dxa"/>
        <w:tblLayout w:type="fixed"/>
        <w:tblLook w:val="0600" w:firstRow="0" w:lastRow="0" w:firstColumn="0" w:lastColumn="0" w:noHBand="1" w:noVBand="1"/>
      </w:tblPr>
      <w:tblGrid>
        <w:gridCol w:w="1526"/>
        <w:gridCol w:w="1417"/>
        <w:gridCol w:w="1276"/>
        <w:gridCol w:w="2268"/>
        <w:gridCol w:w="2405"/>
      </w:tblGrid>
      <w:tr w:rsidR="0001138F" w:rsidRPr="0001138F" w14:paraId="2FF02C05" w14:textId="77777777" w:rsidTr="0001138F">
        <w:trPr>
          <w:trHeight w:val="460"/>
          <w:tblHeader/>
        </w:trPr>
        <w:tc>
          <w:tcPr>
            <w:tcW w:w="1526" w:type="dxa"/>
            <w:shd w:val="clear" w:color="auto" w:fill="8DB3E2" w:themeFill="text2" w:themeFillTint="66"/>
            <w:vAlign w:val="center"/>
          </w:tcPr>
          <w:p w14:paraId="7C8176C7" w14:textId="77777777" w:rsidR="0001138F" w:rsidRPr="0001138F" w:rsidRDefault="0001138F" w:rsidP="0001138F">
            <w:pPr>
              <w:jc w:val="center"/>
              <w:textAlignment w:val="center"/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val="es-CO" w:eastAsia="es-CO"/>
              </w:rPr>
              <w:t>Fecha</w:t>
            </w:r>
          </w:p>
        </w:tc>
        <w:tc>
          <w:tcPr>
            <w:tcW w:w="1417" w:type="dxa"/>
            <w:shd w:val="clear" w:color="auto" w:fill="8DB3E2" w:themeFill="text2" w:themeFillTint="66"/>
            <w:vAlign w:val="center"/>
          </w:tcPr>
          <w:p w14:paraId="0DB699A5" w14:textId="77777777" w:rsidR="0001138F" w:rsidRPr="0001138F" w:rsidRDefault="0001138F" w:rsidP="0001138F">
            <w:pPr>
              <w:jc w:val="center"/>
              <w:textAlignment w:val="center"/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val="es-CO" w:eastAsia="es-CO"/>
              </w:rPr>
              <w:t>Sesión</w:t>
            </w:r>
          </w:p>
        </w:tc>
        <w:tc>
          <w:tcPr>
            <w:tcW w:w="1276" w:type="dxa"/>
            <w:shd w:val="clear" w:color="auto" w:fill="8DB3E2" w:themeFill="text2" w:themeFillTint="66"/>
            <w:vAlign w:val="center"/>
          </w:tcPr>
          <w:p w14:paraId="31311167" w14:textId="77777777" w:rsidR="0001138F" w:rsidRPr="0001138F" w:rsidRDefault="0001138F" w:rsidP="0001138F">
            <w:pPr>
              <w:jc w:val="center"/>
              <w:textAlignment w:val="center"/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val="es-CO" w:eastAsia="es-CO"/>
              </w:rPr>
              <w:t>Hora</w:t>
            </w:r>
          </w:p>
        </w:tc>
        <w:tc>
          <w:tcPr>
            <w:tcW w:w="4673" w:type="dxa"/>
            <w:gridSpan w:val="2"/>
            <w:shd w:val="clear" w:color="auto" w:fill="8DB3E2" w:themeFill="text2" w:themeFillTint="66"/>
            <w:vAlign w:val="center"/>
          </w:tcPr>
          <w:p w14:paraId="42757AAE" w14:textId="77777777" w:rsidR="0001138F" w:rsidRPr="0001138F" w:rsidRDefault="0001138F" w:rsidP="0001138F">
            <w:pPr>
              <w:jc w:val="center"/>
              <w:textAlignment w:val="center"/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b/>
                <w:bCs/>
                <w:kern w:val="24"/>
                <w:sz w:val="18"/>
                <w:szCs w:val="18"/>
                <w:lang w:eastAsia="es-CO"/>
              </w:rPr>
              <w:t>Entidades</w:t>
            </w:r>
          </w:p>
        </w:tc>
      </w:tr>
      <w:tr w:rsidR="0001138F" w:rsidRPr="0001138F" w14:paraId="6B187ECF" w14:textId="77777777" w:rsidTr="007B14DA">
        <w:trPr>
          <w:trHeight w:val="752"/>
        </w:trPr>
        <w:tc>
          <w:tcPr>
            <w:tcW w:w="1526" w:type="dxa"/>
            <w:vMerge w:val="restart"/>
            <w:vAlign w:val="center"/>
            <w:hideMark/>
          </w:tcPr>
          <w:p w14:paraId="2BD5883F" w14:textId="77777777" w:rsidR="0001138F" w:rsidRPr="0001138F" w:rsidRDefault="00E04EDA" w:rsidP="00E04E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Lunes</w:t>
            </w:r>
            <w:r w:rsidR="0001138F"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28 de septiembre</w:t>
            </w:r>
          </w:p>
        </w:tc>
        <w:tc>
          <w:tcPr>
            <w:tcW w:w="1417" w:type="dxa"/>
            <w:vAlign w:val="center"/>
            <w:hideMark/>
          </w:tcPr>
          <w:p w14:paraId="39D896DA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Sesión 1</w:t>
            </w:r>
          </w:p>
        </w:tc>
        <w:tc>
          <w:tcPr>
            <w:tcW w:w="1276" w:type="dxa"/>
            <w:vAlign w:val="center"/>
            <w:hideMark/>
          </w:tcPr>
          <w:p w14:paraId="45200B5A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2:00 - 3:30</w:t>
            </w:r>
          </w:p>
        </w:tc>
        <w:tc>
          <w:tcPr>
            <w:tcW w:w="2268" w:type="dxa"/>
            <w:hideMark/>
          </w:tcPr>
          <w:p w14:paraId="79605395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Banco Agrario</w:t>
            </w:r>
          </w:p>
          <w:p w14:paraId="7F737DCD" w14:textId="77777777" w:rsidR="0001138F" w:rsidRPr="0001138F" w:rsidRDefault="0001138F" w:rsidP="000C6A65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Banco Caja Social</w:t>
            </w:r>
          </w:p>
          <w:p w14:paraId="0CAE1949" w14:textId="77777777" w:rsidR="0001138F" w:rsidRPr="0001138F" w:rsidRDefault="0001138F" w:rsidP="000C6A65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Davivienda</w:t>
            </w:r>
          </w:p>
        </w:tc>
        <w:tc>
          <w:tcPr>
            <w:tcW w:w="2405" w:type="dxa"/>
            <w:hideMark/>
          </w:tcPr>
          <w:p w14:paraId="0E0CCA15" w14:textId="77777777" w:rsidR="0001138F" w:rsidRPr="0001138F" w:rsidRDefault="0001138F" w:rsidP="000C6A65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Citibank</w:t>
            </w:r>
          </w:p>
          <w:p w14:paraId="1BB142D3" w14:textId="77777777" w:rsidR="0001138F" w:rsidRPr="0001138F" w:rsidRDefault="0001138F" w:rsidP="000C6A65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Colpatria</w:t>
            </w:r>
          </w:p>
          <w:p w14:paraId="7A5D5F28" w14:textId="77777777" w:rsidR="0001138F" w:rsidRPr="0001138F" w:rsidRDefault="0001138F" w:rsidP="000C6A65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 de Bogotá</w:t>
            </w:r>
          </w:p>
        </w:tc>
      </w:tr>
      <w:tr w:rsidR="0001138F" w:rsidRPr="0001138F" w14:paraId="18004B82" w14:textId="77777777" w:rsidTr="007B14DA">
        <w:trPr>
          <w:trHeight w:val="752"/>
        </w:trPr>
        <w:tc>
          <w:tcPr>
            <w:tcW w:w="1526" w:type="dxa"/>
            <w:vMerge/>
            <w:vAlign w:val="center"/>
            <w:hideMark/>
          </w:tcPr>
          <w:p w14:paraId="25C5C004" w14:textId="77777777" w:rsidR="0001138F" w:rsidRPr="0001138F" w:rsidRDefault="0001138F" w:rsidP="007B14DA">
            <w:pPr>
              <w:jc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417" w:type="dxa"/>
            <w:vAlign w:val="center"/>
            <w:hideMark/>
          </w:tcPr>
          <w:p w14:paraId="2E6413D3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Sesión 2</w:t>
            </w:r>
          </w:p>
        </w:tc>
        <w:tc>
          <w:tcPr>
            <w:tcW w:w="1276" w:type="dxa"/>
            <w:vAlign w:val="center"/>
            <w:hideMark/>
          </w:tcPr>
          <w:p w14:paraId="50594C3C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3:30 - 5:00</w:t>
            </w:r>
          </w:p>
        </w:tc>
        <w:tc>
          <w:tcPr>
            <w:tcW w:w="2268" w:type="dxa"/>
            <w:hideMark/>
          </w:tcPr>
          <w:p w14:paraId="0CCE77AF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 de Occidente</w:t>
            </w:r>
          </w:p>
          <w:p w14:paraId="67D23EE7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Banco Falabella</w:t>
            </w:r>
          </w:p>
          <w:p w14:paraId="07C404F4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Banco Pichincha</w:t>
            </w:r>
          </w:p>
        </w:tc>
        <w:tc>
          <w:tcPr>
            <w:tcW w:w="2405" w:type="dxa"/>
            <w:hideMark/>
          </w:tcPr>
          <w:p w14:paraId="05FEC0BD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GNB Sudameris</w:t>
            </w:r>
          </w:p>
          <w:p w14:paraId="1934B9B3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Bancolombia</w:t>
            </w:r>
          </w:p>
          <w:p w14:paraId="16C4D3DC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 Popular </w:t>
            </w:r>
          </w:p>
        </w:tc>
      </w:tr>
      <w:tr w:rsidR="0001138F" w:rsidRPr="0001138F" w14:paraId="76101ECB" w14:textId="77777777" w:rsidTr="007B14DA">
        <w:trPr>
          <w:trHeight w:val="752"/>
        </w:trPr>
        <w:tc>
          <w:tcPr>
            <w:tcW w:w="1526" w:type="dxa"/>
            <w:vMerge w:val="restart"/>
            <w:vAlign w:val="center"/>
            <w:hideMark/>
          </w:tcPr>
          <w:p w14:paraId="5E5D709F" w14:textId="77777777" w:rsidR="0001138F" w:rsidRPr="0001138F" w:rsidRDefault="00E04EDA" w:rsidP="00E04E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Martes</w:t>
            </w:r>
            <w:r w:rsidR="0001138F"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29</w:t>
            </w:r>
            <w:r w:rsidR="0001138F"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 xml:space="preserve"> de </w:t>
            </w: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septiembre</w:t>
            </w:r>
          </w:p>
        </w:tc>
        <w:tc>
          <w:tcPr>
            <w:tcW w:w="1417" w:type="dxa"/>
            <w:vAlign w:val="center"/>
            <w:hideMark/>
          </w:tcPr>
          <w:p w14:paraId="41B67F05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Sesión 3</w:t>
            </w:r>
          </w:p>
        </w:tc>
        <w:tc>
          <w:tcPr>
            <w:tcW w:w="1276" w:type="dxa"/>
            <w:vAlign w:val="center"/>
            <w:hideMark/>
          </w:tcPr>
          <w:p w14:paraId="1133B4F1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2:00 - 3:30</w:t>
            </w:r>
          </w:p>
        </w:tc>
        <w:tc>
          <w:tcPr>
            <w:tcW w:w="2268" w:type="dxa"/>
            <w:hideMark/>
          </w:tcPr>
          <w:p w14:paraId="07B13807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 Santander</w:t>
            </w:r>
          </w:p>
          <w:p w14:paraId="34BF1A0B" w14:textId="77777777" w:rsidR="0001138F" w:rsidRPr="0001138F" w:rsidRDefault="0001138F" w:rsidP="000C6A65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JP Morgan</w:t>
            </w:r>
          </w:p>
          <w:p w14:paraId="2256E600" w14:textId="77777777" w:rsidR="0001138F" w:rsidRPr="0001138F" w:rsidRDefault="0001138F" w:rsidP="000C6A65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BNP Paribas</w:t>
            </w:r>
          </w:p>
        </w:tc>
        <w:tc>
          <w:tcPr>
            <w:tcW w:w="2405" w:type="dxa"/>
            <w:hideMark/>
          </w:tcPr>
          <w:p w14:paraId="7AC244D8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 BBVA</w:t>
            </w:r>
          </w:p>
          <w:p w14:paraId="09D8112D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Bancoldex</w:t>
            </w:r>
          </w:p>
          <w:p w14:paraId="4117A4D1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BTG Pactual</w:t>
            </w:r>
          </w:p>
          <w:p w14:paraId="431ACBFA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</w:p>
        </w:tc>
      </w:tr>
      <w:tr w:rsidR="0001138F" w:rsidRPr="0001138F" w14:paraId="4052BBDD" w14:textId="77777777" w:rsidTr="007B14DA">
        <w:trPr>
          <w:trHeight w:val="752"/>
        </w:trPr>
        <w:tc>
          <w:tcPr>
            <w:tcW w:w="1526" w:type="dxa"/>
            <w:vMerge/>
            <w:hideMark/>
          </w:tcPr>
          <w:p w14:paraId="637A3DF1" w14:textId="77777777" w:rsidR="0001138F" w:rsidRPr="0001138F" w:rsidRDefault="0001138F" w:rsidP="00E17210">
            <w:pPr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417" w:type="dxa"/>
            <w:vAlign w:val="center"/>
            <w:hideMark/>
          </w:tcPr>
          <w:p w14:paraId="63A72B7A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Sesión 4</w:t>
            </w:r>
          </w:p>
        </w:tc>
        <w:tc>
          <w:tcPr>
            <w:tcW w:w="1276" w:type="dxa"/>
            <w:vAlign w:val="center"/>
            <w:hideMark/>
          </w:tcPr>
          <w:p w14:paraId="1F3BDADD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3:30 - 5:00</w:t>
            </w:r>
          </w:p>
        </w:tc>
        <w:tc>
          <w:tcPr>
            <w:tcW w:w="2268" w:type="dxa"/>
            <w:hideMark/>
          </w:tcPr>
          <w:p w14:paraId="56480735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Casa De Bolsa</w:t>
            </w:r>
          </w:p>
          <w:p w14:paraId="24495B91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Coltefinanciera</w:t>
            </w:r>
          </w:p>
          <w:p w14:paraId="2D4A7EF4" w14:textId="77777777" w:rsidR="0001138F" w:rsidRPr="0001138F" w:rsidRDefault="0001138F" w:rsidP="0001138F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Credicorp</w:t>
            </w:r>
          </w:p>
        </w:tc>
        <w:tc>
          <w:tcPr>
            <w:tcW w:w="2405" w:type="dxa"/>
            <w:hideMark/>
          </w:tcPr>
          <w:p w14:paraId="1DF50FBD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Corficolombiana</w:t>
            </w:r>
          </w:p>
          <w:p w14:paraId="5D6988DF" w14:textId="77777777" w:rsid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Corredores Davivienda</w:t>
            </w:r>
          </w:p>
          <w:p w14:paraId="34B4AA3B" w14:textId="77777777" w:rsidR="001F243A" w:rsidRPr="0001138F" w:rsidRDefault="00F43342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AMV</w:t>
            </w:r>
          </w:p>
          <w:p w14:paraId="11F35D66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</w:p>
        </w:tc>
      </w:tr>
      <w:tr w:rsidR="0001138F" w:rsidRPr="0001138F" w14:paraId="4A8A3100" w14:textId="77777777" w:rsidTr="007B14DA">
        <w:trPr>
          <w:trHeight w:val="752"/>
        </w:trPr>
        <w:tc>
          <w:tcPr>
            <w:tcW w:w="1526" w:type="dxa"/>
            <w:vMerge w:val="restart"/>
            <w:vAlign w:val="center"/>
            <w:hideMark/>
          </w:tcPr>
          <w:p w14:paraId="40FDF4C3" w14:textId="77777777" w:rsidR="0001138F" w:rsidRPr="0001138F" w:rsidRDefault="00E04EDA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Miércoles</w:t>
            </w:r>
            <w:r w:rsidR="0001138F"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 xml:space="preserve"> </w:t>
            </w: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30</w:t>
            </w:r>
          </w:p>
          <w:p w14:paraId="69A3B0C2" w14:textId="77777777" w:rsidR="0001138F" w:rsidRPr="0001138F" w:rsidRDefault="0001138F" w:rsidP="00E04E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 xml:space="preserve">de </w:t>
            </w:r>
            <w:r w:rsidR="00E04EDA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septiembre</w:t>
            </w:r>
          </w:p>
        </w:tc>
        <w:tc>
          <w:tcPr>
            <w:tcW w:w="1417" w:type="dxa"/>
            <w:vAlign w:val="center"/>
            <w:hideMark/>
          </w:tcPr>
          <w:p w14:paraId="47C0ED19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Sesión 5</w:t>
            </w:r>
          </w:p>
        </w:tc>
        <w:tc>
          <w:tcPr>
            <w:tcW w:w="1276" w:type="dxa"/>
            <w:vAlign w:val="center"/>
            <w:hideMark/>
          </w:tcPr>
          <w:p w14:paraId="4F54C421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2:00 - 3:30</w:t>
            </w:r>
          </w:p>
        </w:tc>
        <w:tc>
          <w:tcPr>
            <w:tcW w:w="2268" w:type="dxa"/>
            <w:hideMark/>
          </w:tcPr>
          <w:p w14:paraId="01F4FCFC" w14:textId="77777777" w:rsidR="0001138F" w:rsidRPr="0001138F" w:rsidRDefault="0001138F" w:rsidP="0001138F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 Pagos Internacionales</w:t>
            </w:r>
          </w:p>
          <w:p w14:paraId="2E99FE9A" w14:textId="77777777" w:rsidR="001F243A" w:rsidRPr="0001138F" w:rsidRDefault="0001138F" w:rsidP="001F243A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Giros y Finanzas</w:t>
            </w:r>
            <w:r w:rsidR="001F243A"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 xml:space="preserve"> Banco WWB</w:t>
            </w:r>
          </w:p>
          <w:p w14:paraId="64C9367B" w14:textId="77777777" w:rsidR="0001138F" w:rsidRPr="0001138F" w:rsidRDefault="0001138F" w:rsidP="0001138F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2405" w:type="dxa"/>
            <w:hideMark/>
          </w:tcPr>
          <w:p w14:paraId="163C0A0B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Itau Comisionista</w:t>
            </w:r>
          </w:p>
          <w:p w14:paraId="1859F70E" w14:textId="77777777" w:rsid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 Itau</w:t>
            </w:r>
          </w:p>
          <w:p w14:paraId="4E678A42" w14:textId="77777777" w:rsidR="00F43342" w:rsidRPr="0001138F" w:rsidRDefault="00F43342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Banco Av Villas</w:t>
            </w:r>
          </w:p>
          <w:p w14:paraId="752FEC53" w14:textId="77777777" w:rsidR="0001138F" w:rsidRPr="0001138F" w:rsidRDefault="0001138F" w:rsidP="001F243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</w:p>
        </w:tc>
      </w:tr>
      <w:tr w:rsidR="0001138F" w:rsidRPr="000C6A65" w14:paraId="23AC53B2" w14:textId="77777777" w:rsidTr="007B14DA">
        <w:trPr>
          <w:trHeight w:val="752"/>
        </w:trPr>
        <w:tc>
          <w:tcPr>
            <w:tcW w:w="1526" w:type="dxa"/>
            <w:vMerge/>
            <w:hideMark/>
          </w:tcPr>
          <w:p w14:paraId="3286A8CA" w14:textId="77777777" w:rsidR="0001138F" w:rsidRPr="0001138F" w:rsidRDefault="0001138F" w:rsidP="00E17210">
            <w:pPr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</w:p>
        </w:tc>
        <w:tc>
          <w:tcPr>
            <w:tcW w:w="1417" w:type="dxa"/>
            <w:vAlign w:val="center"/>
            <w:hideMark/>
          </w:tcPr>
          <w:p w14:paraId="73061469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Sesión 6</w:t>
            </w:r>
          </w:p>
        </w:tc>
        <w:tc>
          <w:tcPr>
            <w:tcW w:w="1276" w:type="dxa"/>
            <w:vAlign w:val="center"/>
            <w:hideMark/>
          </w:tcPr>
          <w:p w14:paraId="4B4A07D7" w14:textId="77777777" w:rsidR="0001138F" w:rsidRPr="0001138F" w:rsidRDefault="0001138F" w:rsidP="007B14DA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3:30 - 5:00</w:t>
            </w:r>
          </w:p>
        </w:tc>
        <w:tc>
          <w:tcPr>
            <w:tcW w:w="2268" w:type="dxa"/>
            <w:hideMark/>
          </w:tcPr>
          <w:p w14:paraId="721B9B25" w14:textId="77777777" w:rsidR="0001138F" w:rsidRP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Larrain Vial</w:t>
            </w:r>
          </w:p>
          <w:p w14:paraId="281BC4B1" w14:textId="77777777" w:rsid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DTN</w:t>
            </w:r>
          </w:p>
          <w:p w14:paraId="4C5583A8" w14:textId="77777777" w:rsidR="00F43342" w:rsidRPr="0001138F" w:rsidRDefault="00F43342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 w:cs="Arial"/>
                <w:kern w:val="24"/>
                <w:sz w:val="18"/>
                <w:szCs w:val="18"/>
                <w:lang w:eastAsia="es-CO"/>
              </w:rPr>
              <w:t>Acciones y valores</w:t>
            </w:r>
          </w:p>
        </w:tc>
        <w:tc>
          <w:tcPr>
            <w:tcW w:w="2405" w:type="dxa"/>
            <w:hideMark/>
          </w:tcPr>
          <w:p w14:paraId="07A89735" w14:textId="77777777" w:rsidR="0001138F" w:rsidRDefault="0001138F" w:rsidP="00E17210">
            <w:pPr>
              <w:jc w:val="center"/>
              <w:textAlignment w:val="center"/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</w:pPr>
            <w:r w:rsidRPr="0001138F">
              <w:rPr>
                <w:rFonts w:ascii="Verdana" w:hAnsi="Verdana" w:cs="Arial"/>
                <w:kern w:val="24"/>
                <w:sz w:val="18"/>
                <w:szCs w:val="18"/>
                <w:lang w:val="es-CO" w:eastAsia="es-CO"/>
              </w:rPr>
              <w:t>Valores Bancolombia FDN</w:t>
            </w:r>
          </w:p>
          <w:p w14:paraId="69BD7131" w14:textId="77777777" w:rsidR="00F43342" w:rsidRPr="0001138F" w:rsidRDefault="00F43342" w:rsidP="00E17210">
            <w:pPr>
              <w:jc w:val="center"/>
              <w:textAlignment w:val="center"/>
              <w:rPr>
                <w:rFonts w:ascii="Verdana" w:hAnsi="Verdana" w:cs="Arial"/>
                <w:sz w:val="18"/>
                <w:szCs w:val="18"/>
                <w:lang w:val="es-CO" w:eastAsia="es-CO"/>
              </w:rPr>
            </w:pPr>
            <w:r>
              <w:rPr>
                <w:rFonts w:ascii="Verdana" w:hAnsi="Verdana" w:cs="Arial"/>
                <w:sz w:val="18"/>
                <w:szCs w:val="18"/>
                <w:lang w:val="es-CO" w:eastAsia="es-CO"/>
              </w:rPr>
              <w:t>Alianza Valores</w:t>
            </w:r>
          </w:p>
        </w:tc>
      </w:tr>
    </w:tbl>
    <w:p w14:paraId="2513A6E9" w14:textId="77777777" w:rsidR="00E17210" w:rsidRDefault="00E17210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7DF70AEA" w14:textId="4566F25D" w:rsidR="00A90C4E" w:rsidRDefault="00CB4A19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El formato de las capacitaciones va a ser virtual a través de la plataforma Teams</w:t>
      </w:r>
      <w:r w:rsidR="005556F1">
        <w:rPr>
          <w:rFonts w:ascii="Verdana" w:hAnsi="Verdana" w:cs="Arial"/>
          <w:color w:val="000000"/>
          <w:sz w:val="22"/>
          <w:szCs w:val="22"/>
        </w:rPr>
        <w:t xml:space="preserve"> y contaremos con la participación de los funcionarios de la Cámara de Compensación de Divisas y la Cámara de Riesgo Central de Contraparte, para resolver cualquier duda con respecto al proceso de compensación y sus garantías.</w:t>
      </w:r>
    </w:p>
    <w:p w14:paraId="7F9C3B14" w14:textId="1F407407" w:rsidR="00CB4A19" w:rsidRDefault="00CB4A19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06AFFF99" w14:textId="196CB354" w:rsidR="005556F1" w:rsidRDefault="005556F1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 xml:space="preserve">Es muy importante que asistan todos los funcionarios de </w:t>
      </w:r>
      <w:r w:rsidRPr="005556F1">
        <w:rPr>
          <w:rFonts w:ascii="Verdana" w:hAnsi="Verdana" w:cs="Arial"/>
          <w:i/>
          <w:iCs/>
          <w:color w:val="000000"/>
          <w:sz w:val="22"/>
          <w:szCs w:val="22"/>
        </w:rPr>
        <w:t>middle office</w:t>
      </w:r>
      <w:r>
        <w:rPr>
          <w:rFonts w:ascii="Verdana" w:hAnsi="Verdana" w:cs="Arial"/>
          <w:color w:val="000000"/>
          <w:sz w:val="22"/>
          <w:szCs w:val="22"/>
        </w:rPr>
        <w:t xml:space="preserve"> de cada entidad, de manera que puedan aclarar todas sus inquietudes con suficiente anticipación al lanzamiento de la nueva versión. Las entidades pueden inscribir a todos los demás funcionarios que consideren adecuado.</w:t>
      </w:r>
    </w:p>
    <w:p w14:paraId="5680F329" w14:textId="77777777" w:rsidR="005556F1" w:rsidRDefault="005556F1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096A9DC9" w14:textId="0E827606" w:rsidR="00E17210" w:rsidRDefault="005556F1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Para inscribirse a las capacitaciones, l</w:t>
      </w:r>
      <w:r w:rsidR="00E17210">
        <w:rPr>
          <w:rFonts w:ascii="Verdana" w:hAnsi="Verdana" w:cs="Arial"/>
          <w:color w:val="000000"/>
          <w:sz w:val="22"/>
          <w:szCs w:val="22"/>
        </w:rPr>
        <w:t xml:space="preserve">as entidades deben enviar </w:t>
      </w:r>
      <w:r w:rsidR="00A90C4E">
        <w:rPr>
          <w:rFonts w:ascii="Verdana" w:hAnsi="Verdana" w:cs="Arial"/>
          <w:color w:val="000000"/>
          <w:sz w:val="22"/>
          <w:szCs w:val="22"/>
        </w:rPr>
        <w:t xml:space="preserve">una </w:t>
      </w:r>
      <w:r w:rsidR="00E17210">
        <w:rPr>
          <w:rFonts w:ascii="Verdana" w:hAnsi="Verdana" w:cs="Arial"/>
          <w:color w:val="000000"/>
          <w:sz w:val="22"/>
          <w:szCs w:val="22"/>
        </w:rPr>
        <w:t xml:space="preserve">lista </w:t>
      </w:r>
      <w:r w:rsidR="0031569F">
        <w:rPr>
          <w:rFonts w:ascii="Verdana" w:hAnsi="Verdana" w:cs="Arial"/>
          <w:color w:val="000000"/>
          <w:sz w:val="22"/>
          <w:szCs w:val="22"/>
        </w:rPr>
        <w:t>con</w:t>
      </w:r>
      <w:r w:rsidR="00E17210">
        <w:rPr>
          <w:rFonts w:ascii="Verdana" w:hAnsi="Verdana" w:cs="Arial"/>
          <w:color w:val="000000"/>
          <w:sz w:val="22"/>
          <w:szCs w:val="22"/>
        </w:rPr>
        <w:t xml:space="preserve"> los nombres </w:t>
      </w:r>
      <w:r w:rsidR="007E0A9C">
        <w:rPr>
          <w:rFonts w:ascii="Verdana" w:hAnsi="Verdana" w:cs="Arial"/>
          <w:color w:val="000000"/>
          <w:sz w:val="22"/>
          <w:szCs w:val="22"/>
        </w:rPr>
        <w:t>y correos electrónicos</w:t>
      </w:r>
      <w:r w:rsidR="00E17210">
        <w:rPr>
          <w:rFonts w:ascii="Verdana" w:hAnsi="Verdana" w:cs="Arial"/>
          <w:color w:val="000000"/>
          <w:sz w:val="22"/>
          <w:szCs w:val="22"/>
        </w:rPr>
        <w:t xml:space="preserve"> de los funcionarios que asistirán a las sesiones virtuales a los siguientes correos electrónicos:</w:t>
      </w:r>
    </w:p>
    <w:p w14:paraId="5A33D55A" w14:textId="77777777" w:rsidR="00E17210" w:rsidRDefault="00E17210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118CB36B" w14:textId="77777777" w:rsidR="00E17210" w:rsidRDefault="00A71FDB" w:rsidP="00E17210">
      <w:pPr>
        <w:pStyle w:val="Prrafodelista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hyperlink r:id="rId6" w:history="1">
        <w:r w:rsidR="00E17210" w:rsidRPr="00E05E38">
          <w:rPr>
            <w:rStyle w:val="Hipervnculo"/>
            <w:rFonts w:ascii="Verdana" w:hAnsi="Verdana" w:cs="Arial"/>
            <w:sz w:val="22"/>
            <w:szCs w:val="22"/>
          </w:rPr>
          <w:t>comercial@set-icap.co</w:t>
        </w:r>
      </w:hyperlink>
    </w:p>
    <w:p w14:paraId="5DCBBB8E" w14:textId="77777777" w:rsidR="00E17210" w:rsidRDefault="00A71FDB" w:rsidP="00E622F2">
      <w:pPr>
        <w:pStyle w:val="Prrafodelista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hyperlink r:id="rId7" w:history="1">
        <w:r w:rsidR="00E622F2">
          <w:rPr>
            <w:rStyle w:val="Hipervnculo"/>
            <w:rFonts w:ascii="Verdana" w:hAnsi="Verdana" w:cs="Arial"/>
            <w:sz w:val="22"/>
            <w:szCs w:val="22"/>
          </w:rPr>
          <w:t>aacevedo</w:t>
        </w:r>
      </w:hyperlink>
      <w:r w:rsidR="00E622F2" w:rsidRPr="00E622F2">
        <w:rPr>
          <w:rStyle w:val="Hipervnculo"/>
          <w:rFonts w:ascii="Verdana" w:hAnsi="Verdana" w:cs="Arial"/>
          <w:sz w:val="22"/>
          <w:szCs w:val="22"/>
        </w:rPr>
        <w:t>@set-icap.co</w:t>
      </w:r>
    </w:p>
    <w:p w14:paraId="6BE70C74" w14:textId="77777777" w:rsidR="00E17210" w:rsidRDefault="00E17210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19D59E20" w14:textId="77777777" w:rsidR="001F243A" w:rsidRDefault="00A90C4E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C</w:t>
      </w:r>
      <w:r w:rsidR="00E17210">
        <w:rPr>
          <w:rFonts w:ascii="Verdana" w:hAnsi="Verdana" w:cs="Arial"/>
          <w:color w:val="000000"/>
          <w:sz w:val="22"/>
          <w:szCs w:val="22"/>
        </w:rPr>
        <w:t xml:space="preserve">ada </w:t>
      </w:r>
      <w:r>
        <w:rPr>
          <w:rFonts w:ascii="Verdana" w:hAnsi="Verdana" w:cs="Arial"/>
          <w:color w:val="000000"/>
          <w:sz w:val="22"/>
          <w:szCs w:val="22"/>
        </w:rPr>
        <w:t xml:space="preserve">uno de los </w:t>
      </w:r>
      <w:r w:rsidR="00E17210">
        <w:rPr>
          <w:rFonts w:ascii="Verdana" w:hAnsi="Verdana" w:cs="Arial"/>
          <w:color w:val="000000"/>
          <w:sz w:val="22"/>
          <w:szCs w:val="22"/>
        </w:rPr>
        <w:t>funcionario</w:t>
      </w:r>
      <w:r>
        <w:rPr>
          <w:rFonts w:ascii="Verdana" w:hAnsi="Verdana" w:cs="Arial"/>
          <w:color w:val="000000"/>
          <w:sz w:val="22"/>
          <w:szCs w:val="22"/>
        </w:rPr>
        <w:t>s</w:t>
      </w:r>
      <w:r w:rsidR="00E17210">
        <w:rPr>
          <w:rFonts w:ascii="Verdana" w:hAnsi="Verdana" w:cs="Arial"/>
          <w:color w:val="000000"/>
          <w:sz w:val="22"/>
          <w:szCs w:val="22"/>
        </w:rPr>
        <w:t xml:space="preserve"> recibirá una citación</w:t>
      </w:r>
      <w:r w:rsidR="0031569F">
        <w:rPr>
          <w:rFonts w:ascii="Verdana" w:hAnsi="Verdana" w:cs="Arial"/>
          <w:color w:val="000000"/>
          <w:sz w:val="22"/>
          <w:szCs w:val="22"/>
        </w:rPr>
        <w:t xml:space="preserve"> con el link para ingresar a </w:t>
      </w:r>
      <w:r>
        <w:rPr>
          <w:rFonts w:ascii="Verdana" w:hAnsi="Verdana" w:cs="Arial"/>
          <w:color w:val="000000"/>
          <w:sz w:val="22"/>
          <w:szCs w:val="22"/>
        </w:rPr>
        <w:t>la reunión</w:t>
      </w:r>
      <w:r w:rsidR="0031569F">
        <w:rPr>
          <w:rFonts w:ascii="Verdana" w:hAnsi="Verdana" w:cs="Arial"/>
          <w:color w:val="000000"/>
          <w:sz w:val="22"/>
          <w:szCs w:val="22"/>
        </w:rPr>
        <w:t>.</w:t>
      </w:r>
    </w:p>
    <w:p w14:paraId="331FFF54" w14:textId="77777777" w:rsidR="00F60541" w:rsidRDefault="00F60541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6D92FADA" w14:textId="77777777" w:rsidR="0031569F" w:rsidRPr="00E17210" w:rsidRDefault="0031569F" w:rsidP="00E17210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Estaremos</w:t>
      </w:r>
      <w:r w:rsidRPr="0031569F">
        <w:rPr>
          <w:rFonts w:ascii="Verdana" w:hAnsi="Verdana" w:cs="Arial"/>
          <w:color w:val="000000"/>
          <w:sz w:val="22"/>
          <w:szCs w:val="22"/>
        </w:rPr>
        <w:t xml:space="preserve"> en disposición </w:t>
      </w:r>
      <w:r>
        <w:rPr>
          <w:rFonts w:ascii="Verdana" w:hAnsi="Verdana" w:cs="Arial"/>
          <w:color w:val="000000"/>
          <w:sz w:val="22"/>
          <w:szCs w:val="22"/>
        </w:rPr>
        <w:t>de</w:t>
      </w:r>
      <w:r w:rsidRPr="0031569F">
        <w:rPr>
          <w:rFonts w:ascii="Verdana" w:hAnsi="Verdana" w:cs="Arial"/>
          <w:color w:val="000000"/>
          <w:sz w:val="22"/>
          <w:szCs w:val="22"/>
        </w:rPr>
        <w:t xml:space="preserve"> resolver cualquier inquietud</w:t>
      </w:r>
      <w:r w:rsidR="001F243A">
        <w:rPr>
          <w:rFonts w:ascii="Verdana" w:hAnsi="Verdana" w:cs="Arial"/>
          <w:color w:val="000000"/>
          <w:sz w:val="22"/>
          <w:szCs w:val="22"/>
        </w:rPr>
        <w:t>.</w:t>
      </w:r>
    </w:p>
    <w:p w14:paraId="3AAE6605" w14:textId="77777777" w:rsidR="00E17210" w:rsidRDefault="00E17210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4F8CAC27" w14:textId="77777777" w:rsidR="0031569F" w:rsidRDefault="0031569F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</w:p>
    <w:p w14:paraId="62B521F1" w14:textId="77777777" w:rsidR="003440BE" w:rsidRPr="00260F7D" w:rsidRDefault="002C593F" w:rsidP="003440BE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>Cordialmente</w:t>
      </w:r>
      <w:r w:rsidR="003440BE" w:rsidRPr="00260F7D">
        <w:rPr>
          <w:rFonts w:ascii="Verdana" w:hAnsi="Verdana" w:cs="Arial"/>
          <w:color w:val="000000"/>
          <w:sz w:val="22"/>
          <w:szCs w:val="22"/>
        </w:rPr>
        <w:t>,</w:t>
      </w:r>
    </w:p>
    <w:p w14:paraId="59E40938" w14:textId="77777777" w:rsidR="003440BE" w:rsidRDefault="003440BE" w:rsidP="003440BE">
      <w:pPr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1C428E0D" w14:textId="77777777" w:rsidR="004C2DA5" w:rsidRDefault="004C2DA5" w:rsidP="003440BE">
      <w:pPr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405040FE" w14:textId="77777777" w:rsidR="00E220A0" w:rsidRPr="00260F7D" w:rsidRDefault="00E220A0" w:rsidP="003440BE">
      <w:pPr>
        <w:rPr>
          <w:rFonts w:ascii="Verdana" w:hAnsi="Verdana" w:cs="Arial"/>
          <w:b/>
          <w:bCs/>
          <w:color w:val="000000"/>
          <w:sz w:val="22"/>
          <w:szCs w:val="22"/>
        </w:rPr>
      </w:pPr>
    </w:p>
    <w:p w14:paraId="61DA39EC" w14:textId="77777777" w:rsidR="003440BE" w:rsidRPr="00260F7D" w:rsidRDefault="003440BE" w:rsidP="003440BE">
      <w:pPr>
        <w:rPr>
          <w:rFonts w:ascii="Verdana" w:hAnsi="Verdana" w:cs="Arial"/>
        </w:rPr>
      </w:pPr>
      <w:r w:rsidRPr="00260F7D">
        <w:rPr>
          <w:rFonts w:ascii="Verdana" w:hAnsi="Verdana" w:cs="Arial"/>
          <w:color w:val="000000"/>
          <w:sz w:val="22"/>
          <w:szCs w:val="22"/>
        </w:rPr>
        <w:t>(Original Firmado)</w:t>
      </w:r>
    </w:p>
    <w:p w14:paraId="0BECF0EC" w14:textId="77777777" w:rsidR="003440BE" w:rsidRDefault="00784F62" w:rsidP="003440BE">
      <w:pPr>
        <w:rPr>
          <w:rFonts w:ascii="Verdana" w:hAnsi="Verdana" w:cs="Arial"/>
          <w:b/>
          <w:bCs/>
          <w:color w:val="000000"/>
          <w:sz w:val="22"/>
          <w:szCs w:val="22"/>
        </w:rPr>
      </w:pPr>
      <w:r>
        <w:rPr>
          <w:rFonts w:ascii="Verdana" w:hAnsi="Verdana" w:cs="Arial"/>
          <w:b/>
          <w:bCs/>
          <w:color w:val="000000"/>
          <w:sz w:val="22"/>
          <w:szCs w:val="22"/>
        </w:rPr>
        <w:t>ALEJANDRO ARIAS PERALTA</w:t>
      </w:r>
    </w:p>
    <w:p w14:paraId="1BE34D93" w14:textId="77777777" w:rsidR="00554765" w:rsidRPr="00554765" w:rsidRDefault="00784F62" w:rsidP="003440BE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Cs/>
          <w:color w:val="000000"/>
          <w:sz w:val="22"/>
          <w:szCs w:val="22"/>
        </w:rPr>
        <w:t>Gerente Comercial</w:t>
      </w:r>
    </w:p>
    <w:sectPr w:rsidR="00554765" w:rsidRPr="005547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12E62"/>
    <w:multiLevelType w:val="hybridMultilevel"/>
    <w:tmpl w:val="4C42E70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D3D8F"/>
    <w:multiLevelType w:val="multilevel"/>
    <w:tmpl w:val="704A3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AF45B47"/>
    <w:multiLevelType w:val="multilevel"/>
    <w:tmpl w:val="06BE16F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3" w15:restartNumberingAfterBreak="0">
    <w:nsid w:val="1109293A"/>
    <w:multiLevelType w:val="hybridMultilevel"/>
    <w:tmpl w:val="EF7ABCB6"/>
    <w:lvl w:ilvl="0" w:tplc="240A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E17C0"/>
    <w:multiLevelType w:val="hybridMultilevel"/>
    <w:tmpl w:val="65B4371E"/>
    <w:lvl w:ilvl="0" w:tplc="0756B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71DDD"/>
    <w:multiLevelType w:val="hybridMultilevel"/>
    <w:tmpl w:val="C60415FE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20C"/>
    <w:multiLevelType w:val="hybridMultilevel"/>
    <w:tmpl w:val="D00A8A8E"/>
    <w:lvl w:ilvl="0" w:tplc="DB26D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6EB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9EE5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0C20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49A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D697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B030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602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CC0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E874A7A"/>
    <w:multiLevelType w:val="hybridMultilevel"/>
    <w:tmpl w:val="20DAA63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7745B4"/>
    <w:multiLevelType w:val="hybridMultilevel"/>
    <w:tmpl w:val="AB66E7E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709B1"/>
    <w:multiLevelType w:val="hybridMultilevel"/>
    <w:tmpl w:val="F9306E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85208"/>
    <w:multiLevelType w:val="hybridMultilevel"/>
    <w:tmpl w:val="98FEC41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74BAE"/>
    <w:multiLevelType w:val="multilevel"/>
    <w:tmpl w:val="73585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8733388"/>
    <w:multiLevelType w:val="hybridMultilevel"/>
    <w:tmpl w:val="51DE0B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341454"/>
    <w:multiLevelType w:val="hybridMultilevel"/>
    <w:tmpl w:val="79B6B5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0230C"/>
    <w:multiLevelType w:val="hybridMultilevel"/>
    <w:tmpl w:val="537C25D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27D4F"/>
    <w:multiLevelType w:val="hybridMultilevel"/>
    <w:tmpl w:val="5CE2A5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71DF0"/>
    <w:multiLevelType w:val="hybridMultilevel"/>
    <w:tmpl w:val="17F457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5D4F00"/>
    <w:multiLevelType w:val="hybridMultilevel"/>
    <w:tmpl w:val="DD84A7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1D536F"/>
    <w:multiLevelType w:val="hybridMultilevel"/>
    <w:tmpl w:val="AEFA1B1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A4D9A"/>
    <w:multiLevelType w:val="multilevel"/>
    <w:tmpl w:val="BE3473CE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0" w15:restartNumberingAfterBreak="0">
    <w:nsid w:val="7CAA4BA5"/>
    <w:multiLevelType w:val="hybridMultilevel"/>
    <w:tmpl w:val="5A1C47F6"/>
    <w:lvl w:ilvl="0" w:tplc="0756B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7721F2"/>
    <w:multiLevelType w:val="hybridMultilevel"/>
    <w:tmpl w:val="DD9423E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8"/>
  </w:num>
  <w:num w:numId="5">
    <w:abstractNumId w:val="13"/>
  </w:num>
  <w:num w:numId="6">
    <w:abstractNumId w:val="17"/>
  </w:num>
  <w:num w:numId="7">
    <w:abstractNumId w:val="10"/>
  </w:num>
  <w:num w:numId="8">
    <w:abstractNumId w:val="19"/>
  </w:num>
  <w:num w:numId="9">
    <w:abstractNumId w:val="5"/>
  </w:num>
  <w:num w:numId="10">
    <w:abstractNumId w:val="14"/>
  </w:num>
  <w:num w:numId="11">
    <w:abstractNumId w:val="21"/>
  </w:num>
  <w:num w:numId="12">
    <w:abstractNumId w:val="2"/>
  </w:num>
  <w:num w:numId="13">
    <w:abstractNumId w:val="16"/>
  </w:num>
  <w:num w:numId="14">
    <w:abstractNumId w:val="4"/>
  </w:num>
  <w:num w:numId="15">
    <w:abstractNumId w:val="20"/>
  </w:num>
  <w:num w:numId="16">
    <w:abstractNumId w:val="3"/>
  </w:num>
  <w:num w:numId="17">
    <w:abstractNumId w:val="0"/>
  </w:num>
  <w:num w:numId="18">
    <w:abstractNumId w:val="9"/>
  </w:num>
  <w:num w:numId="19">
    <w:abstractNumId w:val="7"/>
  </w:num>
  <w:num w:numId="20">
    <w:abstractNumId w:val="1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0BE"/>
    <w:rsid w:val="0001138F"/>
    <w:rsid w:val="000538E6"/>
    <w:rsid w:val="00076E39"/>
    <w:rsid w:val="00082EDC"/>
    <w:rsid w:val="00085C11"/>
    <w:rsid w:val="000C6A65"/>
    <w:rsid w:val="00112E32"/>
    <w:rsid w:val="00130D14"/>
    <w:rsid w:val="0015134A"/>
    <w:rsid w:val="00193E8C"/>
    <w:rsid w:val="001B0A0B"/>
    <w:rsid w:val="001F243A"/>
    <w:rsid w:val="002456C3"/>
    <w:rsid w:val="002541C9"/>
    <w:rsid w:val="002C593F"/>
    <w:rsid w:val="002E4655"/>
    <w:rsid w:val="0031569F"/>
    <w:rsid w:val="00330F45"/>
    <w:rsid w:val="003440BE"/>
    <w:rsid w:val="003545A9"/>
    <w:rsid w:val="00415450"/>
    <w:rsid w:val="0044461A"/>
    <w:rsid w:val="00477D42"/>
    <w:rsid w:val="004C2DA5"/>
    <w:rsid w:val="00505A6D"/>
    <w:rsid w:val="00523B60"/>
    <w:rsid w:val="00527EB9"/>
    <w:rsid w:val="00554765"/>
    <w:rsid w:val="005556F1"/>
    <w:rsid w:val="00563B32"/>
    <w:rsid w:val="005A14BA"/>
    <w:rsid w:val="005C0C69"/>
    <w:rsid w:val="005F7CB5"/>
    <w:rsid w:val="00634061"/>
    <w:rsid w:val="0068715E"/>
    <w:rsid w:val="006D4D95"/>
    <w:rsid w:val="00784F62"/>
    <w:rsid w:val="007B14DA"/>
    <w:rsid w:val="007E0A9C"/>
    <w:rsid w:val="00826DCA"/>
    <w:rsid w:val="00835ADC"/>
    <w:rsid w:val="0083654C"/>
    <w:rsid w:val="00884848"/>
    <w:rsid w:val="008A06FC"/>
    <w:rsid w:val="008B55C0"/>
    <w:rsid w:val="009430F7"/>
    <w:rsid w:val="00943EFA"/>
    <w:rsid w:val="00954627"/>
    <w:rsid w:val="009B7C4A"/>
    <w:rsid w:val="009C36AD"/>
    <w:rsid w:val="00A02F55"/>
    <w:rsid w:val="00A307F0"/>
    <w:rsid w:val="00A71FDB"/>
    <w:rsid w:val="00A76DED"/>
    <w:rsid w:val="00A814DE"/>
    <w:rsid w:val="00A862B4"/>
    <w:rsid w:val="00A90C4E"/>
    <w:rsid w:val="00AA1F31"/>
    <w:rsid w:val="00B0585B"/>
    <w:rsid w:val="00B26660"/>
    <w:rsid w:val="00B27259"/>
    <w:rsid w:val="00B355F9"/>
    <w:rsid w:val="00B36B31"/>
    <w:rsid w:val="00B36E84"/>
    <w:rsid w:val="00BB29F4"/>
    <w:rsid w:val="00C16455"/>
    <w:rsid w:val="00C25822"/>
    <w:rsid w:val="00C352B6"/>
    <w:rsid w:val="00C5105C"/>
    <w:rsid w:val="00CB4A19"/>
    <w:rsid w:val="00D222A7"/>
    <w:rsid w:val="00D67D3D"/>
    <w:rsid w:val="00D74700"/>
    <w:rsid w:val="00E04EDA"/>
    <w:rsid w:val="00E17210"/>
    <w:rsid w:val="00E220A0"/>
    <w:rsid w:val="00E60B92"/>
    <w:rsid w:val="00E622F2"/>
    <w:rsid w:val="00E92940"/>
    <w:rsid w:val="00EB7E9F"/>
    <w:rsid w:val="00F018F1"/>
    <w:rsid w:val="00F112DB"/>
    <w:rsid w:val="00F43342"/>
    <w:rsid w:val="00F45BA9"/>
    <w:rsid w:val="00F60541"/>
    <w:rsid w:val="00FC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9D568"/>
  <w15:docId w15:val="{125CC028-5196-4224-A712-2C88E0B8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0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3440BE"/>
    <w:rPr>
      <w:rFonts w:cs="Times New Roman"/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440BE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440B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0BE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BB2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36A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446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portesetfx@set-icap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ercial@set-icap.c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David Benavides</dc:creator>
  <cp:lastModifiedBy>Alejandro Arias</cp:lastModifiedBy>
  <cp:revision>3</cp:revision>
  <cp:lastPrinted>2020-08-19T17:33:00Z</cp:lastPrinted>
  <dcterms:created xsi:type="dcterms:W3CDTF">2020-09-22T21:40:00Z</dcterms:created>
  <dcterms:modified xsi:type="dcterms:W3CDTF">2020-09-23T01:22:00Z</dcterms:modified>
</cp:coreProperties>
</file>